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3"/>
        <w:gridCol w:w="3855"/>
      </w:tblGrid>
      <w:tr w:rsidR="004B612A" w:rsidRPr="004B612A" w:rsidTr="004B612A">
        <w:trPr>
          <w:tblCellSpacing w:w="0" w:type="dxa"/>
        </w:trPr>
        <w:tc>
          <w:tcPr>
            <w:tcW w:w="12135" w:type="dxa"/>
            <w:gridSpan w:val="2"/>
            <w:hideMark/>
          </w:tcPr>
          <w:p w:rsidR="004B612A" w:rsidRPr="004B612A" w:rsidRDefault="004B612A" w:rsidP="004B612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4040" cy="76581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12A" w:rsidRPr="004B612A" w:rsidTr="004B612A">
        <w:trPr>
          <w:tblCellSpacing w:w="0" w:type="dxa"/>
        </w:trPr>
        <w:tc>
          <w:tcPr>
            <w:tcW w:w="12135" w:type="dxa"/>
            <w:gridSpan w:val="2"/>
            <w:hideMark/>
          </w:tcPr>
          <w:p w:rsidR="004B612A" w:rsidRPr="004B612A" w:rsidRDefault="004B612A" w:rsidP="004B612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>МІНІСТЕРСТВО ОСВІТИ І НАУКИ, МОЛОДІ ТА СПОРТУ УКРАЇНИ</w:t>
            </w:r>
          </w:p>
        </w:tc>
      </w:tr>
      <w:tr w:rsidR="004B612A" w:rsidRPr="004B612A" w:rsidTr="004B612A">
        <w:trPr>
          <w:tblCellSpacing w:w="0" w:type="dxa"/>
        </w:trPr>
        <w:tc>
          <w:tcPr>
            <w:tcW w:w="12135" w:type="dxa"/>
            <w:gridSpan w:val="2"/>
            <w:hideMark/>
          </w:tcPr>
          <w:p w:rsidR="004B612A" w:rsidRPr="004B612A" w:rsidRDefault="004B612A" w:rsidP="004B612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4B612A" w:rsidRPr="004B612A" w:rsidTr="004B612A">
        <w:trPr>
          <w:tblCellSpacing w:w="0" w:type="dxa"/>
        </w:trPr>
        <w:tc>
          <w:tcPr>
            <w:tcW w:w="12135" w:type="dxa"/>
            <w:gridSpan w:val="2"/>
            <w:hideMark/>
          </w:tcPr>
          <w:p w:rsidR="004B612A" w:rsidRPr="004B612A" w:rsidRDefault="004B612A" w:rsidP="004B612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>13.06.2012  № 687</w:t>
            </w:r>
          </w:p>
        </w:tc>
      </w:tr>
      <w:tr w:rsidR="004B612A" w:rsidRPr="004B612A" w:rsidTr="004B612A">
        <w:trPr>
          <w:tblCellSpacing w:w="0" w:type="dxa"/>
        </w:trPr>
        <w:tc>
          <w:tcPr>
            <w:tcW w:w="3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3 липня 2012 р.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>за № 1094/21406</w:t>
            </w:r>
          </w:p>
        </w:tc>
      </w:tr>
    </w:tbl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" w:name="n4"/>
      <w:bookmarkEnd w:id="1"/>
      <w:r w:rsidRPr="004B612A">
        <w:rPr>
          <w:rFonts w:eastAsia="Times New Roman"/>
          <w:sz w:val="24"/>
          <w:szCs w:val="24"/>
          <w:lang w:eastAsia="uk-UA"/>
        </w:rPr>
        <w:t xml:space="preserve">Про затвердження Положення про Всеукраїнську дитячо-юнацьку військово-патріотичну гру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„Сокіл”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)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" w:name="n120"/>
      <w:bookmarkEnd w:id="2"/>
      <w:r w:rsidRPr="004B612A">
        <w:rPr>
          <w:rFonts w:eastAsia="Times New Roman"/>
          <w:sz w:val="24"/>
          <w:szCs w:val="24"/>
          <w:lang w:eastAsia="uk-UA"/>
        </w:rPr>
        <w:t xml:space="preserve">{Із змінами, внесеними згідно з Наказом Міністерства </w:t>
      </w:r>
      <w:r w:rsidRPr="004B612A">
        <w:rPr>
          <w:rFonts w:eastAsia="Times New Roman"/>
          <w:sz w:val="24"/>
          <w:szCs w:val="24"/>
          <w:lang w:eastAsia="uk-UA"/>
        </w:rPr>
        <w:br/>
        <w:t xml:space="preserve">освіти і науки </w:t>
      </w:r>
      <w:r w:rsidRPr="004B612A">
        <w:rPr>
          <w:rFonts w:eastAsia="Times New Roman"/>
          <w:sz w:val="24"/>
          <w:szCs w:val="24"/>
          <w:lang w:eastAsia="uk-UA"/>
        </w:rPr>
        <w:br/>
      </w:r>
      <w:hyperlink r:id="rId5" w:anchor="n13" w:tgtFrame="_blank" w:history="1"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№ 276 від 31.03.2014</w:t>
        </w:r>
      </w:hyperlink>
      <w:r w:rsidRPr="004B612A">
        <w:rPr>
          <w:rFonts w:eastAsia="Times New Roman"/>
          <w:sz w:val="24"/>
          <w:szCs w:val="24"/>
          <w:lang w:eastAsia="uk-UA"/>
        </w:rPr>
        <w:t>}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" w:name="n5"/>
      <w:bookmarkEnd w:id="3"/>
      <w:r w:rsidRPr="004B612A">
        <w:rPr>
          <w:rFonts w:eastAsia="Times New Roman"/>
          <w:sz w:val="24"/>
          <w:szCs w:val="24"/>
          <w:lang w:eastAsia="uk-UA"/>
        </w:rPr>
        <w:t xml:space="preserve">На виконання доручення Президента України від 6 травня 2011 року № 1-1/860 щодо активізації роботи по відродженню і розвитку історичних, патріотичних, господарських та культурних традицій Українського козацтва, відповідно до пункту 2 </w:t>
      </w:r>
      <w:r w:rsidRPr="004B612A">
        <w:rPr>
          <w:rFonts w:eastAsia="Times New Roman"/>
          <w:color w:val="000000"/>
          <w:sz w:val="24"/>
          <w:szCs w:val="24"/>
          <w:lang w:eastAsia="uk-UA"/>
        </w:rPr>
        <w:t>наказу Міністерства України у справах сім’ї, молоді та спорту, Міністерства освіти і науки України, Міністерства оборони України, Міністерства культури і туризму України від 27 жовтня 2009 року № 3754/981/538/49</w:t>
      </w:r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„Про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затвердження Концепції національно-патріотичного виховання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молоді”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НАКАЗУЮ: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" w:name="n6"/>
      <w:bookmarkEnd w:id="4"/>
      <w:r w:rsidRPr="004B612A">
        <w:rPr>
          <w:rFonts w:eastAsia="Times New Roman"/>
          <w:sz w:val="24"/>
          <w:szCs w:val="24"/>
          <w:lang w:eastAsia="uk-UA"/>
        </w:rPr>
        <w:t xml:space="preserve">1. Затвердити </w:t>
      </w:r>
      <w:hyperlink r:id="rId6" w:anchor="n20" w:history="1"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 xml:space="preserve">Положення про Всеукраїнську дитячо-юнацьку військово-патріотичну гру </w:t>
        </w:r>
        <w:proofErr w:type="spellStart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„Сокіл”</w:t>
        </w:r>
        <w:proofErr w:type="spellEnd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 xml:space="preserve"> (</w:t>
        </w:r>
        <w:proofErr w:type="spellStart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„Джура”</w:t>
        </w:r>
        <w:proofErr w:type="spellEnd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 xml:space="preserve">) (далі - гра </w:t>
        </w:r>
        <w:proofErr w:type="spellStart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„Джура”</w:t>
        </w:r>
        <w:proofErr w:type="spellEnd"/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)</w:t>
        </w:r>
      </w:hyperlink>
      <w:r w:rsidRPr="004B612A">
        <w:rPr>
          <w:rFonts w:eastAsia="Times New Roman"/>
          <w:sz w:val="24"/>
          <w:szCs w:val="24"/>
          <w:lang w:eastAsia="uk-UA"/>
        </w:rPr>
        <w:t>, що додається.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" w:name="n7"/>
      <w:bookmarkEnd w:id="5"/>
      <w:r w:rsidRPr="004B612A">
        <w:rPr>
          <w:rFonts w:eastAsia="Times New Roman"/>
          <w:sz w:val="24"/>
          <w:szCs w:val="24"/>
          <w:lang w:eastAsia="uk-UA"/>
        </w:rPr>
        <w:t>2.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" w:name="n8"/>
      <w:bookmarkEnd w:id="6"/>
      <w:r w:rsidRPr="004B612A">
        <w:rPr>
          <w:rFonts w:eastAsia="Times New Roman"/>
          <w:sz w:val="24"/>
          <w:szCs w:val="24"/>
          <w:lang w:eastAsia="uk-UA"/>
        </w:rPr>
        <w:t xml:space="preserve">2.1. Забезпечити організацію і проведення I та II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" w:name="n9"/>
      <w:bookmarkEnd w:id="7"/>
      <w:r w:rsidRPr="004B612A">
        <w:rPr>
          <w:rFonts w:eastAsia="Times New Roman"/>
          <w:sz w:val="24"/>
          <w:szCs w:val="24"/>
          <w:lang w:eastAsia="uk-UA"/>
        </w:rPr>
        <w:t xml:space="preserve">2.2. Сприяти формуванню Кримського республіканського, обласних, Київського та Севастопольського міських штабів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" w:name="n10"/>
      <w:bookmarkEnd w:id="8"/>
      <w:r w:rsidRPr="004B612A">
        <w:rPr>
          <w:rFonts w:eastAsia="Times New Roman"/>
          <w:sz w:val="24"/>
          <w:szCs w:val="24"/>
          <w:lang w:eastAsia="uk-UA"/>
        </w:rPr>
        <w:t>3. Відділу позашкільної освіти, виховної роботи та захисту прав дитини (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Середницька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А.Д.), Українському державному центру туризму і краєзнавства учнівської молоді (Савченко Н.В.):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" w:name="n11"/>
      <w:bookmarkEnd w:id="9"/>
      <w:r w:rsidRPr="004B612A">
        <w:rPr>
          <w:rFonts w:eastAsia="Times New Roman"/>
          <w:sz w:val="24"/>
          <w:szCs w:val="24"/>
          <w:lang w:eastAsia="uk-UA"/>
        </w:rPr>
        <w:t xml:space="preserve">3.1. Здійснювати організаційно-методичне забезпечення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" w:name="n12"/>
      <w:bookmarkEnd w:id="10"/>
      <w:r w:rsidRPr="004B612A">
        <w:rPr>
          <w:rFonts w:eastAsia="Times New Roman"/>
          <w:sz w:val="24"/>
          <w:szCs w:val="24"/>
          <w:lang w:eastAsia="uk-UA"/>
        </w:rPr>
        <w:t xml:space="preserve">3.2. Забезпечити проведення III (Всеукраїнського) етапу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" w:name="n13"/>
      <w:bookmarkEnd w:id="11"/>
      <w:r w:rsidRPr="004B612A">
        <w:rPr>
          <w:rFonts w:eastAsia="Times New Roman"/>
          <w:sz w:val="24"/>
          <w:szCs w:val="24"/>
          <w:lang w:eastAsia="uk-UA"/>
        </w:rPr>
        <w:t>4. Департаменту професійно-технічної освіти (Супрун В.В.) забезпечити подання цього наказу на державну реєстрацію до Міністерства юстиції України.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2" w:name="n14"/>
      <w:bookmarkEnd w:id="12"/>
      <w:r w:rsidRPr="004B612A">
        <w:rPr>
          <w:rFonts w:eastAsia="Times New Roman"/>
          <w:sz w:val="24"/>
          <w:szCs w:val="24"/>
          <w:lang w:eastAsia="uk-UA"/>
        </w:rPr>
        <w:t xml:space="preserve">5. Скасувати </w:t>
      </w:r>
      <w:r w:rsidRPr="004B612A">
        <w:rPr>
          <w:rFonts w:eastAsia="Times New Roman"/>
          <w:color w:val="000000"/>
          <w:sz w:val="24"/>
          <w:szCs w:val="24"/>
          <w:lang w:eastAsia="uk-UA"/>
        </w:rPr>
        <w:t>наказ Міністерства освіти і науки України від 25 грудня 2003 року № 855</w:t>
      </w:r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„Про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затвердження Положення про дитячо-юнацьку військово-спортивну патріотичну гру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„Сокіл”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) Українського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козацтва”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3" w:name="n15"/>
      <w:bookmarkEnd w:id="13"/>
      <w:r w:rsidRPr="004B612A">
        <w:rPr>
          <w:rFonts w:eastAsia="Times New Roman"/>
          <w:sz w:val="24"/>
          <w:szCs w:val="24"/>
          <w:lang w:eastAsia="uk-UA"/>
        </w:rPr>
        <w:lastRenderedPageBreak/>
        <w:t>6. Цей наказ набирає чинності з дня його офіційного опублікування.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4" w:name="n16"/>
      <w:bookmarkEnd w:id="14"/>
      <w:r w:rsidRPr="004B612A">
        <w:rPr>
          <w:rFonts w:eastAsia="Times New Roman"/>
          <w:sz w:val="24"/>
          <w:szCs w:val="24"/>
          <w:lang w:eastAsia="uk-UA"/>
        </w:rPr>
        <w:t xml:space="preserve">7. Контроль за виконанням цього наказу покласти на заступника Міністра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Жебровського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Б.М.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8"/>
        <w:gridCol w:w="5590"/>
      </w:tblGrid>
      <w:tr w:rsidR="004B612A" w:rsidRPr="004B612A" w:rsidTr="004B612A">
        <w:trPr>
          <w:tblCellSpacing w:w="0" w:type="dxa"/>
        </w:trPr>
        <w:tc>
          <w:tcPr>
            <w:tcW w:w="21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5" w:name="n17"/>
            <w:bookmarkEnd w:id="15"/>
            <w:r w:rsidRPr="004B612A">
              <w:rPr>
                <w:rFonts w:eastAsia="Times New Roman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>Д.В. Табачник</w:t>
            </w:r>
          </w:p>
        </w:tc>
      </w:tr>
    </w:tbl>
    <w:p w:rsidR="004B612A" w:rsidRPr="004B612A" w:rsidRDefault="004B612A" w:rsidP="004B612A">
      <w:pPr>
        <w:spacing w:before="0" w:beforeAutospacing="0" w:after="0" w:afterAutospacing="0"/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6" w:name="n118"/>
      <w:bookmarkEnd w:id="16"/>
      <w:r w:rsidRPr="004B612A">
        <w:rPr>
          <w:rFonts w:eastAsia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7" w:name="n117"/>
      <w:bookmarkEnd w:id="1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3"/>
        <w:gridCol w:w="3855"/>
      </w:tblGrid>
      <w:tr w:rsidR="004B612A" w:rsidRPr="004B612A" w:rsidTr="004B612A">
        <w:trPr>
          <w:tblCellSpacing w:w="0" w:type="dxa"/>
        </w:trPr>
        <w:tc>
          <w:tcPr>
            <w:tcW w:w="3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8" w:name="n18"/>
            <w:bookmarkEnd w:id="18"/>
          </w:p>
        </w:tc>
        <w:tc>
          <w:tcPr>
            <w:tcW w:w="2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Наказ Міністерства освіти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і науки, молоді та спорту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України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>13.06.2012 № 687</w:t>
            </w:r>
          </w:p>
        </w:tc>
      </w:tr>
      <w:tr w:rsidR="004B612A" w:rsidRPr="004B612A" w:rsidTr="004B612A">
        <w:trPr>
          <w:tblCellSpacing w:w="0" w:type="dxa"/>
        </w:trPr>
        <w:tc>
          <w:tcPr>
            <w:tcW w:w="3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9" w:name="n19"/>
            <w:bookmarkEnd w:id="19"/>
          </w:p>
        </w:tc>
        <w:tc>
          <w:tcPr>
            <w:tcW w:w="20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 xml:space="preserve">3 липня 2012 р.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>за № 1094/21406</w:t>
            </w:r>
          </w:p>
        </w:tc>
      </w:tr>
    </w:tbl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0" w:name="n20"/>
      <w:bookmarkEnd w:id="20"/>
      <w:r w:rsidRPr="004B612A">
        <w:rPr>
          <w:rFonts w:eastAsia="Times New Roman"/>
          <w:sz w:val="24"/>
          <w:szCs w:val="24"/>
          <w:lang w:eastAsia="uk-UA"/>
        </w:rPr>
        <w:t xml:space="preserve">ПОЛОЖЕННЯ </w:t>
      </w:r>
      <w:r w:rsidRPr="004B612A">
        <w:rPr>
          <w:rFonts w:eastAsia="Times New Roman"/>
          <w:sz w:val="24"/>
          <w:szCs w:val="24"/>
          <w:lang w:eastAsia="uk-UA"/>
        </w:rPr>
        <w:br/>
        <w:t xml:space="preserve">про Всеукраїнську дитячо-юнацьку військово-патріотичну гру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„Сокіл”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)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1" w:name="n123"/>
      <w:bookmarkEnd w:id="21"/>
      <w:r w:rsidRPr="004B612A">
        <w:rPr>
          <w:rFonts w:eastAsia="Times New Roman"/>
          <w:sz w:val="24"/>
          <w:szCs w:val="24"/>
          <w:lang w:eastAsia="uk-UA"/>
        </w:rPr>
        <w:t>{У тексті Положення слова «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МОНмолодьспорт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України» у всіх відмінках замінено словами «МОН України» згідно з Наказом Міністерства освіти і науки </w:t>
      </w:r>
      <w:hyperlink r:id="rId7" w:anchor="n10" w:tgtFrame="_blank" w:history="1"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№ 276 від 31.03.2014</w:t>
        </w:r>
      </w:hyperlink>
      <w:r w:rsidRPr="004B612A">
        <w:rPr>
          <w:rFonts w:eastAsia="Times New Roman"/>
          <w:sz w:val="24"/>
          <w:szCs w:val="24"/>
          <w:lang w:eastAsia="uk-UA"/>
        </w:rPr>
        <w:t>}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2" w:name="n21"/>
      <w:bookmarkEnd w:id="22"/>
      <w:r w:rsidRPr="004B612A">
        <w:rPr>
          <w:rFonts w:eastAsia="Times New Roman"/>
          <w:sz w:val="24"/>
          <w:szCs w:val="24"/>
          <w:lang w:eastAsia="uk-UA"/>
        </w:rPr>
        <w:t>I. Загальні положення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3" w:name="n116"/>
      <w:bookmarkEnd w:id="23"/>
      <w:r w:rsidRPr="004B612A">
        <w:rPr>
          <w:rFonts w:eastAsia="Times New Roman"/>
          <w:sz w:val="24"/>
          <w:szCs w:val="24"/>
          <w:lang w:eastAsia="uk-UA"/>
        </w:rPr>
        <w:t xml:space="preserve">1.1. Всеукраїнська дитячо-юнацька військово-патріотична гра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„Сокіл”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) (далі - гра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) є системною формою позакласної роботи з військово-патріотичного та морально-етичного виховання учнівської молоді, важливим засобом формування патріотичної свідомості, спортивно-оздоровчої роботи.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4" w:name="n22"/>
      <w:bookmarkEnd w:id="24"/>
      <w:r w:rsidRPr="004B612A">
        <w:rPr>
          <w:rFonts w:eastAsia="Times New Roman"/>
          <w:sz w:val="24"/>
          <w:szCs w:val="24"/>
          <w:lang w:eastAsia="uk-UA"/>
        </w:rPr>
        <w:t xml:space="preserve">1.2. Метою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є виховання юних патріотів України на засадах національної гідності, високої самосвідомості та активної громадянської позиції, здорового способу життя духовно багатої та фізично розвиненої особистості.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5" w:name="n23"/>
      <w:bookmarkEnd w:id="25"/>
      <w:r w:rsidRPr="004B612A">
        <w:rPr>
          <w:rFonts w:eastAsia="Times New Roman"/>
          <w:sz w:val="24"/>
          <w:szCs w:val="24"/>
          <w:lang w:eastAsia="uk-UA"/>
        </w:rPr>
        <w:t xml:space="preserve">1.3. Основні завдання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6" w:name="n24"/>
      <w:bookmarkEnd w:id="26"/>
      <w:r w:rsidRPr="004B612A">
        <w:rPr>
          <w:rFonts w:eastAsia="Times New Roman"/>
          <w:sz w:val="24"/>
          <w:szCs w:val="24"/>
          <w:lang w:eastAsia="uk-UA"/>
        </w:rPr>
        <w:t>виховання дітей та молоді у дусі відданості Батьківщині та українському народу через відродження національних і загальнолюдських духовних та моральних цінностей;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7" w:name="n25"/>
      <w:bookmarkEnd w:id="27"/>
      <w:r w:rsidRPr="004B612A">
        <w:rPr>
          <w:rFonts w:eastAsia="Times New Roman"/>
          <w:sz w:val="24"/>
          <w:szCs w:val="24"/>
          <w:lang w:eastAsia="uk-UA"/>
        </w:rPr>
        <w:t>набуття учнями знань, умінь і навичок, необхідних захиснику Вітчизни;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8" w:name="n26"/>
      <w:bookmarkEnd w:id="28"/>
      <w:r w:rsidRPr="004B612A">
        <w:rPr>
          <w:rFonts w:eastAsia="Times New Roman"/>
          <w:sz w:val="24"/>
          <w:szCs w:val="24"/>
          <w:lang w:eastAsia="uk-UA"/>
        </w:rPr>
        <w:t>формування у молоді високих морально-психологічних якостей: доброчинності, мужності, сміливості, рішучості, відваги, стійкості, наполегливості, дисциплінованості та ініціативності на основі відновлених народних традицій;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29" w:name="n27"/>
      <w:bookmarkEnd w:id="29"/>
      <w:r w:rsidRPr="004B612A">
        <w:rPr>
          <w:rFonts w:eastAsia="Times New Roman"/>
          <w:sz w:val="24"/>
          <w:szCs w:val="24"/>
          <w:lang w:eastAsia="uk-UA"/>
        </w:rPr>
        <w:t>оволодіння учнями основами народної культурної спадщини (пісні, думи, розпис та опорядження житла і сакральних споруд, звичаї, традиції, ритуали і свята);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0" w:name="n28"/>
      <w:bookmarkEnd w:id="30"/>
      <w:r w:rsidRPr="004B612A">
        <w:rPr>
          <w:rFonts w:eastAsia="Times New Roman"/>
          <w:sz w:val="24"/>
          <w:szCs w:val="24"/>
          <w:lang w:eastAsia="uk-UA"/>
        </w:rPr>
        <w:lastRenderedPageBreak/>
        <w:t>впровадження військово-прикладних видів спорту, єдиноборств, верхової їзди на конях, бойових танців, видів спортивної боротьби, народних ігор та забав з метою гартування духу й тіла;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1" w:name="n29"/>
      <w:bookmarkEnd w:id="31"/>
      <w:r w:rsidRPr="004B612A">
        <w:rPr>
          <w:rFonts w:eastAsia="Times New Roman"/>
          <w:sz w:val="24"/>
          <w:szCs w:val="24"/>
          <w:lang w:eastAsia="uk-UA"/>
        </w:rPr>
        <w:t>вивчення народного способу господарювання на землі;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2" w:name="n30"/>
      <w:bookmarkEnd w:id="32"/>
      <w:r w:rsidRPr="004B612A">
        <w:rPr>
          <w:rFonts w:eastAsia="Times New Roman"/>
          <w:sz w:val="24"/>
          <w:szCs w:val="24"/>
          <w:lang w:eastAsia="uk-UA"/>
        </w:rPr>
        <w:t>оволодіння навичками приготування страв народної кухні;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3" w:name="n31"/>
      <w:bookmarkEnd w:id="33"/>
      <w:r w:rsidRPr="004B612A">
        <w:rPr>
          <w:rFonts w:eastAsia="Times New Roman"/>
          <w:sz w:val="24"/>
          <w:szCs w:val="24"/>
          <w:lang w:eastAsia="uk-UA"/>
        </w:rPr>
        <w:t>пропагування та популяризація здорового способу життя;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4" w:name="n32"/>
      <w:bookmarkEnd w:id="34"/>
      <w:r w:rsidRPr="004B612A">
        <w:rPr>
          <w:rFonts w:eastAsia="Times New Roman"/>
          <w:sz w:val="24"/>
          <w:szCs w:val="24"/>
          <w:lang w:eastAsia="uk-UA"/>
        </w:rPr>
        <w:t>зміцнення міжрегіональних зв’язків та дружби дітей та юнацтва;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5" w:name="n33"/>
      <w:bookmarkEnd w:id="35"/>
      <w:r w:rsidRPr="004B612A">
        <w:rPr>
          <w:rFonts w:eastAsia="Times New Roman"/>
          <w:sz w:val="24"/>
          <w:szCs w:val="24"/>
          <w:lang w:eastAsia="uk-UA"/>
        </w:rPr>
        <w:t>організація змістовного дозвілля;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6" w:name="n34"/>
      <w:bookmarkEnd w:id="36"/>
      <w:r w:rsidRPr="004B612A">
        <w:rPr>
          <w:rFonts w:eastAsia="Times New Roman"/>
          <w:sz w:val="24"/>
          <w:szCs w:val="24"/>
          <w:lang w:eastAsia="uk-UA"/>
        </w:rPr>
        <w:t>формування та закріплення основ самоврядування в учнівських колективах.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7" w:name="n35"/>
      <w:bookmarkEnd w:id="37"/>
      <w:r w:rsidRPr="004B612A">
        <w:rPr>
          <w:rFonts w:eastAsia="Times New Roman"/>
          <w:sz w:val="24"/>
          <w:szCs w:val="24"/>
          <w:lang w:eastAsia="uk-UA"/>
        </w:rPr>
        <w:t xml:space="preserve">II. Учасники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8" w:name="n36"/>
      <w:bookmarkEnd w:id="38"/>
      <w:r w:rsidRPr="004B612A">
        <w:rPr>
          <w:rFonts w:eastAsia="Times New Roman"/>
          <w:sz w:val="24"/>
          <w:szCs w:val="24"/>
          <w:lang w:eastAsia="uk-UA"/>
        </w:rPr>
        <w:t xml:space="preserve">2.1. Учасниками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є учнівська молодь загальноосвітніх, позашкільних, професійно-технічних навчальних закладів (далі - навчальні заклади), об’єднана на добровільних засадах у рої, сотні, курені тощо. До складу зазначених утворень входять хлопці та дівчата віком від 7 до 18 років.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39" w:name="n37"/>
      <w:bookmarkEnd w:id="39"/>
      <w:r w:rsidRPr="004B612A">
        <w:rPr>
          <w:rFonts w:eastAsia="Times New Roman"/>
          <w:sz w:val="24"/>
          <w:szCs w:val="24"/>
          <w:lang w:eastAsia="uk-UA"/>
        </w:rPr>
        <w:t xml:space="preserve">2.2. Прийом до складу учасників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здійснюється за народним звичаєм на загальному зібранні та за згодою батьків після проходження виховного просвітницького курсу підготовки, де відбувається знайомство з заповідями, правами та обов'язками учасника гри, набуття необхідних знань з історії України, літературно-пісенної творчості, про народних героїв тощо.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0" w:name="n38"/>
      <w:bookmarkEnd w:id="40"/>
      <w:r w:rsidRPr="004B612A">
        <w:rPr>
          <w:rFonts w:eastAsia="Times New Roman"/>
          <w:sz w:val="24"/>
          <w:szCs w:val="24"/>
          <w:lang w:eastAsia="uk-UA"/>
        </w:rPr>
        <w:t xml:space="preserve">2.3. Учасники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поділяються на козачат (молодші школярі віком 7-10 років), джур козацьких (школярі середніх класів віком 11-15 років), молодих козаків (школярі старших класів віком 16-18 років). У грі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можуть брати участь особи старші 18 років у статусі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„Козак-наставник”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які залучаються до виховної роботи з молоддю.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1" w:name="n39"/>
      <w:bookmarkEnd w:id="41"/>
      <w:r w:rsidRPr="004B612A">
        <w:rPr>
          <w:rFonts w:eastAsia="Times New Roman"/>
          <w:sz w:val="24"/>
          <w:szCs w:val="24"/>
          <w:lang w:eastAsia="uk-UA"/>
        </w:rPr>
        <w:t xml:space="preserve">2.4. Основою організації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є козацьке самоврядування: добровільне об’єднання учасників для виконання завдань гри у рій (клас, гурток тощо), сотню (паралель класів), курінь (навчальний заклад). За потреби можуть створюватися ширші об’єднання: районне (полк), обласне (паланка), всеукраїнське (кіш).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2" w:name="n40"/>
      <w:bookmarkEnd w:id="42"/>
      <w:r w:rsidRPr="004B612A">
        <w:rPr>
          <w:rFonts w:eastAsia="Times New Roman"/>
          <w:sz w:val="24"/>
          <w:szCs w:val="24"/>
          <w:lang w:eastAsia="uk-UA"/>
        </w:rPr>
        <w:t xml:space="preserve">III. Керівництво грою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3" w:name="n41"/>
      <w:bookmarkEnd w:id="43"/>
      <w:r w:rsidRPr="004B612A">
        <w:rPr>
          <w:rFonts w:eastAsia="Times New Roman"/>
          <w:sz w:val="24"/>
          <w:szCs w:val="24"/>
          <w:lang w:eastAsia="uk-UA"/>
        </w:rPr>
        <w:t xml:space="preserve">3.1. Загальне керівництво грою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здійснює Міністерство освіти і науки України (далі - МОН України).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4" w:name="n121"/>
      <w:bookmarkEnd w:id="44"/>
      <w:r w:rsidRPr="004B612A">
        <w:rPr>
          <w:rFonts w:eastAsia="Times New Roman"/>
          <w:sz w:val="24"/>
          <w:szCs w:val="24"/>
          <w:lang w:eastAsia="uk-UA"/>
        </w:rPr>
        <w:t xml:space="preserve">{Пункт 3.1 розділу III із змінами, внесеними згідно з Наказом Міністерства освіти і науки </w:t>
      </w:r>
      <w:hyperlink r:id="rId8" w:anchor="n7" w:tgtFrame="_blank" w:history="1"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№ 276 від 31.03.2014</w:t>
        </w:r>
      </w:hyperlink>
      <w:r w:rsidRPr="004B612A">
        <w:rPr>
          <w:rFonts w:eastAsia="Times New Roman"/>
          <w:sz w:val="24"/>
          <w:szCs w:val="24"/>
          <w:lang w:eastAsia="uk-UA"/>
        </w:rPr>
        <w:t>}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5" w:name="n42"/>
      <w:bookmarkEnd w:id="45"/>
      <w:r w:rsidRPr="004B612A">
        <w:rPr>
          <w:rFonts w:eastAsia="Times New Roman"/>
          <w:sz w:val="24"/>
          <w:szCs w:val="24"/>
          <w:lang w:eastAsia="uk-UA"/>
        </w:rPr>
        <w:t xml:space="preserve">3.2. Безпосередня організація та проведення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покладаються на Український державний центр туризму і краєзнавства учнівської молоді (далі - Центр).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6" w:name="n43"/>
      <w:bookmarkEnd w:id="46"/>
      <w:r w:rsidRPr="004B612A">
        <w:rPr>
          <w:rFonts w:eastAsia="Times New Roman"/>
          <w:sz w:val="24"/>
          <w:szCs w:val="24"/>
          <w:lang w:eastAsia="uk-UA"/>
        </w:rPr>
        <w:t>Для проведення I (районного, міського), II (Кримського республіканського, обласних, Київського та Севастопольського міських) етапів гри «Джура» створюються штаби.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7" w:name="n44"/>
      <w:bookmarkEnd w:id="47"/>
      <w:r w:rsidRPr="004B612A">
        <w:rPr>
          <w:rFonts w:eastAsia="Times New Roman"/>
          <w:sz w:val="24"/>
          <w:szCs w:val="24"/>
          <w:lang w:eastAsia="uk-UA"/>
        </w:rPr>
        <w:lastRenderedPageBreak/>
        <w:t xml:space="preserve">Для проведення III (Всеукраїнського) етапу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створюється головний штаб, склад якого затверджується наказом МОН України.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8" w:name="n45"/>
      <w:bookmarkEnd w:id="48"/>
      <w:r w:rsidRPr="004B612A">
        <w:rPr>
          <w:rFonts w:eastAsia="Times New Roman"/>
          <w:sz w:val="24"/>
          <w:szCs w:val="24"/>
          <w:lang w:eastAsia="uk-UA"/>
        </w:rPr>
        <w:t>3.3. До складу головного штабу входять працівники МОН України, Центру, Міністерства оборони України (за згодою) та представники громадських організацій (за згодою).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49" w:name="n46"/>
      <w:bookmarkEnd w:id="49"/>
      <w:r w:rsidRPr="004B612A">
        <w:rPr>
          <w:rFonts w:eastAsia="Times New Roman"/>
          <w:sz w:val="24"/>
          <w:szCs w:val="24"/>
          <w:lang w:eastAsia="uk-UA"/>
        </w:rPr>
        <w:t>3.4. Очолює головний штаб керівник.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0" w:name="n47"/>
      <w:bookmarkEnd w:id="50"/>
      <w:r w:rsidRPr="004B612A">
        <w:rPr>
          <w:rFonts w:eastAsia="Times New Roman"/>
          <w:sz w:val="24"/>
          <w:szCs w:val="24"/>
          <w:lang w:eastAsia="uk-UA"/>
        </w:rPr>
        <w:t>Керівник головного штабу: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1" w:name="n48"/>
      <w:bookmarkEnd w:id="51"/>
      <w:r w:rsidRPr="004B612A">
        <w:rPr>
          <w:rFonts w:eastAsia="Times New Roman"/>
          <w:sz w:val="24"/>
          <w:szCs w:val="24"/>
          <w:lang w:eastAsia="uk-UA"/>
        </w:rPr>
        <w:t>розподіляє повноваження членів головного штабу;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2" w:name="n49"/>
      <w:bookmarkEnd w:id="52"/>
      <w:r w:rsidRPr="004B612A">
        <w:rPr>
          <w:rFonts w:eastAsia="Times New Roman"/>
          <w:sz w:val="24"/>
          <w:szCs w:val="24"/>
          <w:lang w:eastAsia="uk-UA"/>
        </w:rPr>
        <w:t xml:space="preserve">керує підготовкою і проведенням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3" w:name="n50"/>
      <w:bookmarkEnd w:id="53"/>
      <w:r w:rsidRPr="004B612A">
        <w:rPr>
          <w:rFonts w:eastAsia="Times New Roman"/>
          <w:sz w:val="24"/>
          <w:szCs w:val="24"/>
          <w:lang w:eastAsia="uk-UA"/>
        </w:rPr>
        <w:t>3.5. Члени головного штабу: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4" w:name="n51"/>
      <w:bookmarkEnd w:id="54"/>
      <w:r w:rsidRPr="004B612A">
        <w:rPr>
          <w:rFonts w:eastAsia="Times New Roman"/>
          <w:sz w:val="24"/>
          <w:szCs w:val="24"/>
          <w:lang w:eastAsia="uk-UA"/>
        </w:rPr>
        <w:t xml:space="preserve">здійснюють організаційну роботу з проведення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5" w:name="n52"/>
      <w:bookmarkEnd w:id="55"/>
      <w:r w:rsidRPr="004B612A">
        <w:rPr>
          <w:rFonts w:eastAsia="Times New Roman"/>
          <w:sz w:val="24"/>
          <w:szCs w:val="24"/>
          <w:lang w:eastAsia="uk-UA"/>
        </w:rPr>
        <w:t xml:space="preserve">забезпечують порядок проведення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6" w:name="n53"/>
      <w:bookmarkEnd w:id="56"/>
      <w:r w:rsidRPr="004B612A">
        <w:rPr>
          <w:rFonts w:eastAsia="Times New Roman"/>
          <w:sz w:val="24"/>
          <w:szCs w:val="24"/>
          <w:lang w:eastAsia="uk-UA"/>
        </w:rPr>
        <w:t>3.6. З метою забезпечення об’єктивної оцінки результатів змагань (конкурсів, вікторин) створюється суддівська колегія, склад якої затверджується наказом Центру.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7" w:name="n54"/>
      <w:bookmarkEnd w:id="57"/>
      <w:r w:rsidRPr="004B612A">
        <w:rPr>
          <w:rFonts w:eastAsia="Times New Roman"/>
          <w:sz w:val="24"/>
          <w:szCs w:val="24"/>
          <w:lang w:eastAsia="uk-UA"/>
        </w:rPr>
        <w:t>3.7. До складу суддівської колегії входять досвідчені педагоги, науково-педагогічні працівники навчальних закладів, вчені наукових установ та представники громадських організацій (за згодою).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8" w:name="n55"/>
      <w:bookmarkEnd w:id="58"/>
      <w:r w:rsidRPr="004B612A">
        <w:rPr>
          <w:rFonts w:eastAsia="Times New Roman"/>
          <w:sz w:val="24"/>
          <w:szCs w:val="24"/>
          <w:lang w:eastAsia="uk-UA"/>
        </w:rPr>
        <w:t>3.8. Очолює суддівську колегію головний суддя.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59" w:name="n56"/>
      <w:bookmarkEnd w:id="59"/>
      <w:r w:rsidRPr="004B612A">
        <w:rPr>
          <w:rFonts w:eastAsia="Times New Roman"/>
          <w:sz w:val="24"/>
          <w:szCs w:val="24"/>
          <w:lang w:eastAsia="uk-UA"/>
        </w:rPr>
        <w:t>Головний суддя: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0" w:name="n57"/>
      <w:bookmarkEnd w:id="60"/>
      <w:r w:rsidRPr="004B612A">
        <w:rPr>
          <w:rFonts w:eastAsia="Times New Roman"/>
          <w:sz w:val="24"/>
          <w:szCs w:val="24"/>
          <w:lang w:eastAsia="uk-UA"/>
        </w:rPr>
        <w:t>керує роботою суддів;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1" w:name="n58"/>
      <w:bookmarkEnd w:id="61"/>
      <w:r w:rsidRPr="004B612A">
        <w:rPr>
          <w:rFonts w:eastAsia="Times New Roman"/>
          <w:sz w:val="24"/>
          <w:szCs w:val="24"/>
          <w:lang w:eastAsia="uk-UA"/>
        </w:rPr>
        <w:t>проводить засідання суддівської колегії;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2" w:name="n59"/>
      <w:bookmarkEnd w:id="62"/>
      <w:r w:rsidRPr="004B612A">
        <w:rPr>
          <w:rFonts w:eastAsia="Times New Roman"/>
          <w:sz w:val="24"/>
          <w:szCs w:val="24"/>
          <w:lang w:eastAsia="uk-UA"/>
        </w:rPr>
        <w:t>бере участь у визначенні переможців;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3" w:name="n60"/>
      <w:bookmarkEnd w:id="63"/>
      <w:r w:rsidRPr="004B612A">
        <w:rPr>
          <w:rFonts w:eastAsia="Times New Roman"/>
          <w:sz w:val="24"/>
          <w:szCs w:val="24"/>
          <w:lang w:eastAsia="uk-UA"/>
        </w:rPr>
        <w:t>затверджує список переможців.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4" w:name="n61"/>
      <w:bookmarkEnd w:id="64"/>
      <w:r w:rsidRPr="004B612A">
        <w:rPr>
          <w:rFonts w:eastAsia="Times New Roman"/>
          <w:sz w:val="24"/>
          <w:szCs w:val="24"/>
          <w:lang w:eastAsia="uk-UA"/>
        </w:rPr>
        <w:t xml:space="preserve">3.9. Організацією та проведенням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в регіонах керують 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адміністрацій, відділи (управління) освіти районних та міських державних адміністрацій.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5" w:name="n62"/>
      <w:bookmarkEnd w:id="65"/>
      <w:r w:rsidRPr="004B612A">
        <w:rPr>
          <w:rFonts w:eastAsia="Times New Roman"/>
          <w:sz w:val="24"/>
          <w:szCs w:val="24"/>
          <w:lang w:eastAsia="uk-UA"/>
        </w:rPr>
        <w:t xml:space="preserve">3.10. У навчальних закладах грою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керує педагог, призначений наказом керівника навчального закладу, за його згодою.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6" w:name="n63"/>
      <w:bookmarkEnd w:id="66"/>
      <w:r w:rsidRPr="004B612A">
        <w:rPr>
          <w:rFonts w:eastAsia="Times New Roman"/>
          <w:sz w:val="24"/>
          <w:szCs w:val="24"/>
          <w:lang w:eastAsia="uk-UA"/>
        </w:rPr>
        <w:t xml:space="preserve">При навчальному закладі створюється консультативна Козацька рада з проведення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у складі учнів, педагогів, батьків, представників органів місцевого самоврядування, громадських організацій (за згодою).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7" w:name="n64"/>
      <w:bookmarkEnd w:id="67"/>
      <w:r w:rsidRPr="004B612A">
        <w:rPr>
          <w:rFonts w:eastAsia="Times New Roman"/>
          <w:sz w:val="24"/>
          <w:szCs w:val="24"/>
          <w:lang w:eastAsia="uk-UA"/>
        </w:rPr>
        <w:t xml:space="preserve">IV. Порядок і строки проведення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8" w:name="n65"/>
      <w:bookmarkEnd w:id="68"/>
      <w:r w:rsidRPr="004B612A">
        <w:rPr>
          <w:rFonts w:eastAsia="Times New Roman"/>
          <w:sz w:val="24"/>
          <w:szCs w:val="24"/>
          <w:lang w:eastAsia="uk-UA"/>
        </w:rPr>
        <w:lastRenderedPageBreak/>
        <w:t xml:space="preserve">4.1. Гра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проводиться у три етапи.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69" w:name="n66"/>
      <w:bookmarkEnd w:id="69"/>
      <w:r w:rsidRPr="004B612A">
        <w:rPr>
          <w:rFonts w:eastAsia="Times New Roman"/>
          <w:sz w:val="24"/>
          <w:szCs w:val="24"/>
          <w:lang w:eastAsia="uk-UA"/>
        </w:rPr>
        <w:t>4.2. І (районний, міський), ІІ (Кримський республіканський, обласні, Київський та Севастопольський міські), ІІІ (Всеукраїнський) етапи проводяться щороку, починаючи з 2015 року.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0" w:name="n122"/>
      <w:bookmarkEnd w:id="70"/>
      <w:r w:rsidRPr="004B612A">
        <w:rPr>
          <w:rFonts w:eastAsia="Times New Roman"/>
          <w:sz w:val="24"/>
          <w:szCs w:val="24"/>
          <w:lang w:eastAsia="uk-UA"/>
        </w:rPr>
        <w:t xml:space="preserve">{Пункт 4.2 розділу IV в редакції Наказу Міністерства освіти і науки </w:t>
      </w:r>
      <w:hyperlink r:id="rId9" w:anchor="n8" w:tgtFrame="_blank" w:history="1">
        <w:r w:rsidRPr="004B612A">
          <w:rPr>
            <w:rFonts w:eastAsia="Times New Roman"/>
            <w:color w:val="0000FF"/>
            <w:sz w:val="24"/>
            <w:szCs w:val="24"/>
            <w:u w:val="single"/>
            <w:lang w:eastAsia="uk-UA"/>
          </w:rPr>
          <w:t>№ 276 від 31.03.2014</w:t>
        </w:r>
      </w:hyperlink>
      <w:r w:rsidRPr="004B612A">
        <w:rPr>
          <w:rFonts w:eastAsia="Times New Roman"/>
          <w:sz w:val="24"/>
          <w:szCs w:val="24"/>
          <w:lang w:eastAsia="uk-UA"/>
        </w:rPr>
        <w:t>}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1" w:name="n69"/>
      <w:bookmarkEnd w:id="71"/>
      <w:r w:rsidRPr="004B612A">
        <w:rPr>
          <w:rFonts w:eastAsia="Times New Roman"/>
          <w:sz w:val="24"/>
          <w:szCs w:val="24"/>
          <w:lang w:eastAsia="uk-UA"/>
        </w:rPr>
        <w:t xml:space="preserve">4.3. Заходи в рамках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проводяться протягом року відповідно до річного плану роботи навчального закладу.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2" w:name="n70"/>
      <w:bookmarkEnd w:id="72"/>
      <w:r w:rsidRPr="004B612A">
        <w:rPr>
          <w:rFonts w:eastAsia="Times New Roman"/>
          <w:sz w:val="24"/>
          <w:szCs w:val="24"/>
          <w:lang w:eastAsia="uk-UA"/>
        </w:rPr>
        <w:t xml:space="preserve">V. Організаційні засади та зміст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3" w:name="n71"/>
      <w:bookmarkEnd w:id="73"/>
      <w:r w:rsidRPr="004B612A">
        <w:rPr>
          <w:rFonts w:eastAsia="Times New Roman"/>
          <w:sz w:val="24"/>
          <w:szCs w:val="24"/>
          <w:lang w:eastAsia="uk-UA"/>
        </w:rPr>
        <w:t xml:space="preserve">5.1. До програми I, II та III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включаються такі види змагань (конкурсів, вікторин):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4" w:name="n72"/>
      <w:bookmarkEnd w:id="74"/>
      <w:r w:rsidRPr="004B612A">
        <w:rPr>
          <w:rFonts w:eastAsia="Times New Roman"/>
          <w:sz w:val="24"/>
          <w:szCs w:val="24"/>
          <w:lang w:eastAsia="uk-UA"/>
        </w:rPr>
        <w:t xml:space="preserve">конкурс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„Візитка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рою”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5" w:name="n73"/>
      <w:bookmarkEnd w:id="75"/>
      <w:proofErr w:type="spellStart"/>
      <w:r w:rsidRPr="004B612A">
        <w:rPr>
          <w:rFonts w:eastAsia="Times New Roman"/>
          <w:sz w:val="24"/>
          <w:szCs w:val="24"/>
          <w:lang w:eastAsia="uk-UA"/>
        </w:rPr>
        <w:t>брейн-ринг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(за зразком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„Що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? Де? Коли?”);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6" w:name="n74"/>
      <w:bookmarkEnd w:id="76"/>
      <w:r w:rsidRPr="004B612A">
        <w:rPr>
          <w:rFonts w:eastAsia="Times New Roman"/>
          <w:sz w:val="24"/>
          <w:szCs w:val="24"/>
          <w:lang w:eastAsia="uk-UA"/>
        </w:rPr>
        <w:t>вікторини з історії України, зокрема з історії Збройних Сил України та історії козацтва;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7" w:name="n75"/>
      <w:bookmarkEnd w:id="77"/>
      <w:r w:rsidRPr="004B612A">
        <w:rPr>
          <w:rFonts w:eastAsia="Times New Roman"/>
          <w:sz w:val="24"/>
          <w:szCs w:val="24"/>
          <w:lang w:eastAsia="uk-UA"/>
        </w:rPr>
        <w:t xml:space="preserve">конкурси на кращу пісню, рукописну газету, кінофільм чи відеофільм про гру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та заходи в рамках гри;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8" w:name="n76"/>
      <w:bookmarkEnd w:id="78"/>
      <w:r w:rsidRPr="004B612A">
        <w:rPr>
          <w:rFonts w:eastAsia="Times New Roman"/>
          <w:sz w:val="24"/>
          <w:szCs w:val="24"/>
          <w:lang w:eastAsia="uk-UA"/>
        </w:rPr>
        <w:t>змагання на туристській смузі перешкод, спортивного та туристського орієнтування;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79" w:name="n77"/>
      <w:bookmarkEnd w:id="79"/>
      <w:r w:rsidRPr="004B612A">
        <w:rPr>
          <w:rFonts w:eastAsia="Times New Roman"/>
          <w:sz w:val="24"/>
          <w:szCs w:val="24"/>
          <w:lang w:eastAsia="uk-UA"/>
        </w:rPr>
        <w:t>конкурс технічної творчості;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0" w:name="n78"/>
      <w:bookmarkEnd w:id="80"/>
      <w:r w:rsidRPr="004B612A">
        <w:rPr>
          <w:rFonts w:eastAsia="Times New Roman"/>
          <w:sz w:val="24"/>
          <w:szCs w:val="24"/>
          <w:lang w:eastAsia="uk-UA"/>
        </w:rPr>
        <w:t>огляд якості (рівня) початкової військової підготовки;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1" w:name="n79"/>
      <w:bookmarkEnd w:id="81"/>
      <w:r w:rsidRPr="004B612A">
        <w:rPr>
          <w:rFonts w:eastAsia="Times New Roman"/>
          <w:sz w:val="24"/>
          <w:szCs w:val="24"/>
          <w:lang w:eastAsia="uk-UA"/>
        </w:rPr>
        <w:t xml:space="preserve">стройовий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впоряд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- особиста підготовка та дії в складі рою;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2" w:name="n80"/>
      <w:bookmarkEnd w:id="82"/>
      <w:r w:rsidRPr="004B612A">
        <w:rPr>
          <w:rFonts w:eastAsia="Times New Roman"/>
          <w:sz w:val="24"/>
          <w:szCs w:val="24"/>
          <w:lang w:eastAsia="uk-UA"/>
        </w:rPr>
        <w:t xml:space="preserve">військово-тактична підготовка у формі теренової гри на місцевості з використанням елементів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страйкболу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3" w:name="n81"/>
      <w:bookmarkEnd w:id="83"/>
      <w:r w:rsidRPr="004B612A">
        <w:rPr>
          <w:rFonts w:eastAsia="Times New Roman"/>
          <w:sz w:val="24"/>
          <w:szCs w:val="24"/>
          <w:lang w:eastAsia="uk-UA"/>
        </w:rPr>
        <w:t>фізична підготовка - крос, плавання, метання гранати, лазіння по канату або жердині, згинання і розгинання рук в упорі, опорний стрибок через «коня» тощо;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4" w:name="n82"/>
      <w:bookmarkEnd w:id="84"/>
      <w:r w:rsidRPr="004B612A">
        <w:rPr>
          <w:rFonts w:eastAsia="Times New Roman"/>
          <w:sz w:val="24"/>
          <w:szCs w:val="24"/>
          <w:lang w:eastAsia="uk-UA"/>
        </w:rPr>
        <w:t>медична підготовка - надання долікарської допомоги;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5" w:name="n83"/>
      <w:bookmarkEnd w:id="85"/>
      <w:r w:rsidRPr="004B612A">
        <w:rPr>
          <w:rFonts w:eastAsia="Times New Roman"/>
          <w:sz w:val="24"/>
          <w:szCs w:val="24"/>
          <w:lang w:eastAsia="uk-UA"/>
        </w:rPr>
        <w:t>цивільна оборона - виконання нормативів щодо роботи зі спеціальними приладами та користування індивідуальними засобами захисту, гасіння умовної пожежі та рятувальні роботи;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6" w:name="n84"/>
      <w:bookmarkEnd w:id="86"/>
      <w:r w:rsidRPr="004B612A">
        <w:rPr>
          <w:rFonts w:eastAsia="Times New Roman"/>
          <w:sz w:val="24"/>
          <w:szCs w:val="24"/>
          <w:lang w:eastAsia="uk-UA"/>
        </w:rPr>
        <w:t>комбіновані військово-спортивні та туристські естафети.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7" w:name="n85"/>
      <w:bookmarkEnd w:id="87"/>
      <w:r w:rsidRPr="004B612A">
        <w:rPr>
          <w:rFonts w:eastAsia="Times New Roman"/>
          <w:sz w:val="24"/>
          <w:szCs w:val="24"/>
          <w:lang w:eastAsia="uk-UA"/>
        </w:rPr>
        <w:t>5.2. Напрями роботи в роях: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8" w:name="n86"/>
      <w:bookmarkEnd w:id="88"/>
      <w:r w:rsidRPr="004B612A">
        <w:rPr>
          <w:rFonts w:eastAsia="Times New Roman"/>
          <w:sz w:val="24"/>
          <w:szCs w:val="24"/>
          <w:lang w:eastAsia="uk-UA"/>
        </w:rPr>
        <w:t>навчання і фізичне загартування членів рою під час занять у гуртках, творчих об’єднаннях у навчальних закладах, за місцем проживання, в оздоровчих закладах;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89" w:name="n87"/>
      <w:bookmarkEnd w:id="89"/>
      <w:r w:rsidRPr="004B612A">
        <w:rPr>
          <w:rFonts w:eastAsia="Times New Roman"/>
          <w:sz w:val="24"/>
          <w:szCs w:val="24"/>
          <w:lang w:eastAsia="uk-UA"/>
        </w:rPr>
        <w:lastRenderedPageBreak/>
        <w:t>щорічні огляди військово-спортивної підготовки, патріотичного та духовного виховання козачат, джур козацьких і молодих козаків шляхом проведення змагань, зльотів, конкурсів за окремими умовами;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0" w:name="n88"/>
      <w:bookmarkEnd w:id="90"/>
      <w:r w:rsidRPr="004B612A">
        <w:rPr>
          <w:rFonts w:eastAsia="Times New Roman"/>
          <w:sz w:val="24"/>
          <w:szCs w:val="24"/>
          <w:lang w:eastAsia="uk-UA"/>
        </w:rPr>
        <w:t xml:space="preserve">туристські спортивні походи (пішохідні, кінні, лижні, велосипедні, водні),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історико-краєзнавчі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експедиції;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1" w:name="n89"/>
      <w:bookmarkEnd w:id="91"/>
      <w:r w:rsidRPr="004B612A">
        <w:rPr>
          <w:rFonts w:eastAsia="Times New Roman"/>
          <w:sz w:val="24"/>
          <w:szCs w:val="24"/>
          <w:lang w:eastAsia="uk-UA"/>
        </w:rPr>
        <w:t xml:space="preserve">виконання доброчинних завдань під гаслом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„Добре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діло”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на засадах козацького лицарства;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2" w:name="n90"/>
      <w:bookmarkEnd w:id="92"/>
      <w:r w:rsidRPr="004B612A">
        <w:rPr>
          <w:rFonts w:eastAsia="Times New Roman"/>
          <w:sz w:val="24"/>
          <w:szCs w:val="24"/>
          <w:lang w:eastAsia="uk-UA"/>
        </w:rPr>
        <w:t>участь в екологічних акціях та акціях милосердя, культурно-просвітницьких заходах;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3" w:name="n91"/>
      <w:bookmarkEnd w:id="93"/>
      <w:r w:rsidRPr="004B612A">
        <w:rPr>
          <w:rFonts w:eastAsia="Times New Roman"/>
          <w:sz w:val="24"/>
          <w:szCs w:val="24"/>
          <w:lang w:eastAsia="uk-UA"/>
        </w:rPr>
        <w:t xml:space="preserve">ведення колективного щоденника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„Добрі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справи”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4" w:name="n92"/>
      <w:bookmarkEnd w:id="94"/>
      <w:r w:rsidRPr="004B612A">
        <w:rPr>
          <w:rFonts w:eastAsia="Times New Roman"/>
          <w:sz w:val="24"/>
          <w:szCs w:val="24"/>
          <w:lang w:eastAsia="uk-UA"/>
        </w:rPr>
        <w:t xml:space="preserve">навчання за розпорядком дня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„День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козака”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5" w:name="n93"/>
      <w:bookmarkEnd w:id="95"/>
      <w:r w:rsidRPr="004B612A">
        <w:rPr>
          <w:rFonts w:eastAsia="Times New Roman"/>
          <w:sz w:val="24"/>
          <w:szCs w:val="24"/>
          <w:lang w:eastAsia="uk-UA"/>
        </w:rPr>
        <w:t xml:space="preserve">навчання та тренування в гуртках і секціях традиційних народних єдиноборств, козацьких бойових мистецтв, військового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впоряду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туристської підготовки, розучування народних обрядів;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6" w:name="n94"/>
      <w:bookmarkEnd w:id="96"/>
      <w:r w:rsidRPr="004B612A">
        <w:rPr>
          <w:rFonts w:eastAsia="Times New Roman"/>
          <w:sz w:val="24"/>
          <w:szCs w:val="24"/>
          <w:lang w:eastAsia="uk-UA"/>
        </w:rPr>
        <w:t>вивчення народної культури, педагогіки та моралі; співпраця з дитячими й молодіжними організаціями України та зарубіжжя.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7" w:name="n95"/>
      <w:bookmarkEnd w:id="97"/>
      <w:r w:rsidRPr="004B612A">
        <w:rPr>
          <w:rFonts w:eastAsia="Times New Roman"/>
          <w:sz w:val="24"/>
          <w:szCs w:val="24"/>
          <w:lang w:eastAsia="uk-UA"/>
        </w:rPr>
        <w:t xml:space="preserve">5.3. На всіх етапах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обов’язковим є конкурс на кращий звіт про доброчинні справи під гаслом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„Добре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діло”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що виконувались відповідно до ідейних принципів козацького лицарства.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8" w:name="n96"/>
      <w:bookmarkEnd w:id="98"/>
      <w:r w:rsidRPr="004B612A">
        <w:rPr>
          <w:rFonts w:eastAsia="Times New Roman"/>
          <w:sz w:val="24"/>
          <w:szCs w:val="24"/>
          <w:lang w:eastAsia="uk-UA"/>
        </w:rPr>
        <w:t>5.4. Педагог-вихователь рою та козак-наставник, що призначаються керівником навчального закладу за їх згодою, відповідно до плану навчально-виховних заходів проводять заняття і тренування з козачатами, джурами козацькими і молодими козаками. В основі змісту занять лежать духовний розвиток та фізичне загартування, що реалізується у формі конкурсів, оглядів, естафет, змагань, вікторин тощо.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99" w:name="n97"/>
      <w:bookmarkEnd w:id="99"/>
      <w:r w:rsidRPr="004B612A">
        <w:rPr>
          <w:rFonts w:eastAsia="Times New Roman"/>
          <w:sz w:val="24"/>
          <w:szCs w:val="24"/>
          <w:lang w:eastAsia="uk-UA"/>
        </w:rPr>
        <w:t xml:space="preserve">5.5. У рамках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проводяться конференції,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„круглі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столи”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диспути, зустрічі з ветеранами Збройних Сил України, представниками козацьких громадських організацій, краєзнавцями тощо.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0" w:name="n98"/>
      <w:bookmarkEnd w:id="100"/>
      <w:r w:rsidRPr="004B612A">
        <w:rPr>
          <w:rFonts w:eastAsia="Times New Roman"/>
          <w:sz w:val="24"/>
          <w:szCs w:val="24"/>
          <w:lang w:eastAsia="uk-UA"/>
        </w:rPr>
        <w:t xml:space="preserve">5.6. Заходи у рамках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а також I, II та III етапи проводяться за умовами, що розробляються організаторами зазначених етапів згідно з цим Положенням.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1" w:name="n99"/>
      <w:bookmarkEnd w:id="101"/>
      <w:r w:rsidRPr="004B612A">
        <w:rPr>
          <w:rFonts w:eastAsia="Times New Roman"/>
          <w:sz w:val="24"/>
          <w:szCs w:val="24"/>
          <w:lang w:eastAsia="uk-UA"/>
        </w:rPr>
        <w:t>VI. Документація та строки її подання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2" w:name="n100"/>
      <w:bookmarkEnd w:id="102"/>
      <w:r w:rsidRPr="004B612A">
        <w:rPr>
          <w:rFonts w:eastAsia="Times New Roman"/>
          <w:sz w:val="24"/>
          <w:szCs w:val="24"/>
          <w:lang w:eastAsia="uk-UA"/>
        </w:rPr>
        <w:t xml:space="preserve">6.1. Для участі у III етапі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керівники команд у день заїзду на місце проведення заходу подають до головного штабу такі документи: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3" w:name="n101"/>
      <w:bookmarkEnd w:id="103"/>
      <w:r w:rsidRPr="004B612A">
        <w:rPr>
          <w:rFonts w:eastAsia="Times New Roman"/>
          <w:sz w:val="24"/>
          <w:szCs w:val="24"/>
          <w:lang w:eastAsia="uk-UA"/>
        </w:rPr>
        <w:t xml:space="preserve">наказ про відрядження команди на участь у III етапі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4" w:name="n102"/>
      <w:bookmarkEnd w:id="104"/>
      <w:r w:rsidRPr="004B612A">
        <w:rPr>
          <w:rFonts w:eastAsia="Times New Roman"/>
          <w:sz w:val="24"/>
          <w:szCs w:val="24"/>
          <w:lang w:eastAsia="uk-UA"/>
        </w:rPr>
        <w:t>затверджений список команди, у якому зазначаються: № з/п, прізвища та імена учнів, рік народження, навчальний заклад, місце проживання (до списку включаються також керівники команд);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5" w:name="n103"/>
      <w:bookmarkEnd w:id="105"/>
      <w:r w:rsidRPr="004B612A">
        <w:rPr>
          <w:rFonts w:eastAsia="Times New Roman"/>
          <w:sz w:val="24"/>
          <w:szCs w:val="24"/>
          <w:lang w:eastAsia="uk-UA"/>
        </w:rPr>
        <w:t xml:space="preserve">заявку на участь у III етапі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у якій зазначаються: № з/п, прізвища та імена учнів, рік народження;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6" w:name="n104"/>
      <w:bookmarkEnd w:id="106"/>
      <w:r w:rsidRPr="004B612A">
        <w:rPr>
          <w:rFonts w:eastAsia="Times New Roman"/>
          <w:sz w:val="24"/>
          <w:szCs w:val="24"/>
          <w:lang w:eastAsia="uk-UA"/>
        </w:rPr>
        <w:lastRenderedPageBreak/>
        <w:t>копії паспортів керівників та учнів від 16 років та свідоцтв про народження учнів до 16 років, завірені керівником навчального закладу, учнівські квитки;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7" w:name="n105"/>
      <w:bookmarkEnd w:id="107"/>
      <w:r w:rsidRPr="004B612A">
        <w:rPr>
          <w:rFonts w:eastAsia="Times New Roman"/>
          <w:sz w:val="24"/>
          <w:szCs w:val="24"/>
          <w:lang w:eastAsia="uk-UA"/>
        </w:rPr>
        <w:t>медичні книжки керівників команд;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8" w:name="n106"/>
      <w:bookmarkEnd w:id="108"/>
      <w:r w:rsidRPr="004B612A">
        <w:rPr>
          <w:rFonts w:eastAsia="Times New Roman"/>
          <w:sz w:val="24"/>
          <w:szCs w:val="24"/>
          <w:lang w:eastAsia="uk-UA"/>
        </w:rPr>
        <w:t>медичні довідки для учнів встановленого зразка.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09" w:name="n107"/>
      <w:bookmarkEnd w:id="109"/>
      <w:r w:rsidRPr="004B612A">
        <w:rPr>
          <w:rFonts w:eastAsia="Times New Roman"/>
          <w:sz w:val="24"/>
          <w:szCs w:val="24"/>
          <w:lang w:eastAsia="uk-UA"/>
        </w:rPr>
        <w:t>6.2. Обробка персональних даних здійснюється відповідно до законодавства про захист персональних даних.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0" w:name="n108"/>
      <w:bookmarkEnd w:id="110"/>
      <w:r w:rsidRPr="004B612A">
        <w:rPr>
          <w:rFonts w:eastAsia="Times New Roman"/>
          <w:sz w:val="24"/>
          <w:szCs w:val="24"/>
          <w:lang w:eastAsia="uk-UA"/>
        </w:rPr>
        <w:t>VII. Підбиття підсумків та нагородження переможців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1" w:name="n109"/>
      <w:bookmarkEnd w:id="111"/>
      <w:r w:rsidRPr="004B612A">
        <w:rPr>
          <w:rFonts w:eastAsia="Times New Roman"/>
          <w:sz w:val="24"/>
          <w:szCs w:val="24"/>
          <w:lang w:eastAsia="uk-UA"/>
        </w:rPr>
        <w:t xml:space="preserve">7.1. Підсумки I, II та III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підбиваються у кожному виді змагань (конкурсів, вікторин) (далі - змагання) окремо. Переможці визначаються за найбільшою сумою балів, набраних під час цих змагань.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2" w:name="n110"/>
      <w:bookmarkEnd w:id="112"/>
      <w:r w:rsidRPr="004B612A">
        <w:rPr>
          <w:rFonts w:eastAsia="Times New Roman"/>
          <w:sz w:val="24"/>
          <w:szCs w:val="24"/>
          <w:lang w:eastAsia="uk-UA"/>
        </w:rPr>
        <w:t xml:space="preserve">Переможці у комплексному заліку I, II та III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визначаються за найменшою сумою місць, зайнятих в усіх залікових видах змагань.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3" w:name="n111"/>
      <w:bookmarkEnd w:id="113"/>
      <w:r w:rsidRPr="004B612A">
        <w:rPr>
          <w:rFonts w:eastAsia="Times New Roman"/>
          <w:sz w:val="24"/>
          <w:szCs w:val="24"/>
          <w:lang w:eastAsia="uk-UA"/>
        </w:rPr>
        <w:t xml:space="preserve">7.2. Переможці I, II та III етапів нагороджуються грамотами, дипломами, призами, оздоровчими та екскурсійними поїздками організаторів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4" w:name="n112"/>
      <w:bookmarkEnd w:id="114"/>
      <w:r w:rsidRPr="004B612A">
        <w:rPr>
          <w:rFonts w:eastAsia="Times New Roman"/>
          <w:sz w:val="24"/>
          <w:szCs w:val="24"/>
          <w:lang w:eastAsia="uk-UA"/>
        </w:rPr>
        <w:t xml:space="preserve">VIII. Фінансування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5" w:name="n113"/>
      <w:bookmarkEnd w:id="115"/>
      <w:r w:rsidRPr="004B612A">
        <w:rPr>
          <w:rFonts w:eastAsia="Times New Roman"/>
          <w:sz w:val="24"/>
          <w:szCs w:val="24"/>
          <w:lang w:eastAsia="uk-UA"/>
        </w:rPr>
        <w:t xml:space="preserve">8.1. Фінансування проведення I та II етапів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в районах (містах), в Автономній Республіці Крим, областях, містах Києві та Севастополі, проїзд та харчування учасників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>, проведення тренувальних зборів, відрядження осіб, що супроводжують учнів, та суддів, нагородження переможців здійснюються за рахунок асигнувань, передбачених у відповідних бюджетах на відповідний рік Міністерством освіти і науки, молоді та спорту Автономної Республіки Крим, управліннями освіти і науки обласних, Київської та Севастопольської міських державних адміністрацій та інших джерел фінансування, не заборонених чинним законодавством.</w:t>
      </w:r>
    </w:p>
    <w:p w:rsidR="004B612A" w:rsidRPr="004B612A" w:rsidRDefault="004B612A" w:rsidP="004B612A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bookmarkStart w:id="116" w:name="n114"/>
      <w:bookmarkEnd w:id="116"/>
      <w:r w:rsidRPr="004B612A">
        <w:rPr>
          <w:rFonts w:eastAsia="Times New Roman"/>
          <w:sz w:val="24"/>
          <w:szCs w:val="24"/>
          <w:lang w:eastAsia="uk-UA"/>
        </w:rPr>
        <w:t xml:space="preserve">8.2. Витрати на організацію та проведення ІІІ етапу гри </w:t>
      </w:r>
      <w:proofErr w:type="spellStart"/>
      <w:r w:rsidRPr="004B612A">
        <w:rPr>
          <w:rFonts w:eastAsia="Times New Roman"/>
          <w:sz w:val="24"/>
          <w:szCs w:val="24"/>
          <w:lang w:eastAsia="uk-UA"/>
        </w:rPr>
        <w:t>„Джура”</w:t>
      </w:r>
      <w:proofErr w:type="spellEnd"/>
      <w:r w:rsidRPr="004B612A">
        <w:rPr>
          <w:rFonts w:eastAsia="Times New Roman"/>
          <w:sz w:val="24"/>
          <w:szCs w:val="24"/>
          <w:lang w:eastAsia="uk-UA"/>
        </w:rPr>
        <w:t xml:space="preserve"> здійснюються в межах відповідних асигнувань, передбачених Державним бюджетом України на відповідний рік, а також коштів, не заборонених законодавством.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8"/>
        <w:gridCol w:w="5590"/>
      </w:tblGrid>
      <w:tr w:rsidR="004B612A" w:rsidRPr="004B612A" w:rsidTr="004B612A">
        <w:trPr>
          <w:tblCellSpacing w:w="0" w:type="dxa"/>
        </w:trPr>
        <w:tc>
          <w:tcPr>
            <w:tcW w:w="21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17" w:name="n115"/>
            <w:bookmarkEnd w:id="117"/>
            <w:r w:rsidRPr="004B612A">
              <w:rPr>
                <w:rFonts w:eastAsia="Times New Roman"/>
                <w:sz w:val="24"/>
                <w:szCs w:val="24"/>
                <w:lang w:eastAsia="uk-UA"/>
              </w:rPr>
              <w:t xml:space="preserve">Директор департаменту </w:t>
            </w: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>професійно-технічної освіти</w:t>
            </w:r>
          </w:p>
        </w:tc>
        <w:tc>
          <w:tcPr>
            <w:tcW w:w="3500" w:type="pct"/>
            <w:hideMark/>
          </w:tcPr>
          <w:p w:rsidR="004B612A" w:rsidRPr="004B612A" w:rsidRDefault="004B612A" w:rsidP="004B612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4B612A">
              <w:rPr>
                <w:rFonts w:eastAsia="Times New Roman"/>
                <w:sz w:val="24"/>
                <w:szCs w:val="24"/>
                <w:lang w:eastAsia="uk-UA"/>
              </w:rPr>
              <w:br/>
              <w:t>В.В. Супрун</w:t>
            </w:r>
          </w:p>
        </w:tc>
      </w:tr>
    </w:tbl>
    <w:p w:rsidR="002A4152" w:rsidRDefault="002A4152"/>
    <w:sectPr w:rsidR="002A4152" w:rsidSect="00300762">
      <w:pgSz w:w="11906" w:h="16838"/>
      <w:pgMar w:top="1134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/>
  <w:rsids>
    <w:rsidRoot w:val="004B612A"/>
    <w:rsid w:val="00006563"/>
    <w:rsid w:val="000376E6"/>
    <w:rsid w:val="00044424"/>
    <w:rsid w:val="000560B6"/>
    <w:rsid w:val="000612E4"/>
    <w:rsid w:val="000666C7"/>
    <w:rsid w:val="000734C3"/>
    <w:rsid w:val="00080F50"/>
    <w:rsid w:val="0008123D"/>
    <w:rsid w:val="0008799B"/>
    <w:rsid w:val="00090F69"/>
    <w:rsid w:val="000D6962"/>
    <w:rsid w:val="00110FAB"/>
    <w:rsid w:val="00113C46"/>
    <w:rsid w:val="001166D0"/>
    <w:rsid w:val="001B3452"/>
    <w:rsid w:val="001F6459"/>
    <w:rsid w:val="0021567A"/>
    <w:rsid w:val="002167AE"/>
    <w:rsid w:val="002234EA"/>
    <w:rsid w:val="00226354"/>
    <w:rsid w:val="00234E2F"/>
    <w:rsid w:val="00243ECC"/>
    <w:rsid w:val="00250AD3"/>
    <w:rsid w:val="002A4152"/>
    <w:rsid w:val="002A5164"/>
    <w:rsid w:val="002C2737"/>
    <w:rsid w:val="002C393D"/>
    <w:rsid w:val="002F1E3A"/>
    <w:rsid w:val="002F601C"/>
    <w:rsid w:val="00300762"/>
    <w:rsid w:val="00314388"/>
    <w:rsid w:val="003235B7"/>
    <w:rsid w:val="00351888"/>
    <w:rsid w:val="003609CE"/>
    <w:rsid w:val="003A4B2D"/>
    <w:rsid w:val="003B342C"/>
    <w:rsid w:val="003C08C2"/>
    <w:rsid w:val="003C2B35"/>
    <w:rsid w:val="003D5916"/>
    <w:rsid w:val="003E3475"/>
    <w:rsid w:val="003F29D2"/>
    <w:rsid w:val="00433D27"/>
    <w:rsid w:val="004417DF"/>
    <w:rsid w:val="0044630A"/>
    <w:rsid w:val="004845B0"/>
    <w:rsid w:val="0048736E"/>
    <w:rsid w:val="004B3818"/>
    <w:rsid w:val="004B6053"/>
    <w:rsid w:val="004B612A"/>
    <w:rsid w:val="00540DCC"/>
    <w:rsid w:val="0054177B"/>
    <w:rsid w:val="00554B3E"/>
    <w:rsid w:val="00557EE8"/>
    <w:rsid w:val="005623E6"/>
    <w:rsid w:val="00565DE3"/>
    <w:rsid w:val="005860F6"/>
    <w:rsid w:val="005901ED"/>
    <w:rsid w:val="00591789"/>
    <w:rsid w:val="005A2411"/>
    <w:rsid w:val="005A2DC9"/>
    <w:rsid w:val="005A32AD"/>
    <w:rsid w:val="005C4E95"/>
    <w:rsid w:val="005F5E36"/>
    <w:rsid w:val="00620B22"/>
    <w:rsid w:val="00623A83"/>
    <w:rsid w:val="00624A4E"/>
    <w:rsid w:val="00665675"/>
    <w:rsid w:val="0067167F"/>
    <w:rsid w:val="006D1991"/>
    <w:rsid w:val="006D2274"/>
    <w:rsid w:val="006D725B"/>
    <w:rsid w:val="006E43A7"/>
    <w:rsid w:val="00727003"/>
    <w:rsid w:val="00730635"/>
    <w:rsid w:val="007333D4"/>
    <w:rsid w:val="00750311"/>
    <w:rsid w:val="00754424"/>
    <w:rsid w:val="00772D12"/>
    <w:rsid w:val="00784545"/>
    <w:rsid w:val="007915B7"/>
    <w:rsid w:val="007F331B"/>
    <w:rsid w:val="0082768F"/>
    <w:rsid w:val="00831256"/>
    <w:rsid w:val="00831533"/>
    <w:rsid w:val="00835409"/>
    <w:rsid w:val="00851836"/>
    <w:rsid w:val="00855F7B"/>
    <w:rsid w:val="0088091D"/>
    <w:rsid w:val="008932DD"/>
    <w:rsid w:val="00893B7A"/>
    <w:rsid w:val="009068A5"/>
    <w:rsid w:val="009275A0"/>
    <w:rsid w:val="009509EE"/>
    <w:rsid w:val="009B3CE8"/>
    <w:rsid w:val="009B6795"/>
    <w:rsid w:val="009D28C5"/>
    <w:rsid w:val="00A3774B"/>
    <w:rsid w:val="00A61678"/>
    <w:rsid w:val="00A74695"/>
    <w:rsid w:val="00AA366C"/>
    <w:rsid w:val="00AD2EEE"/>
    <w:rsid w:val="00AD5DCC"/>
    <w:rsid w:val="00AE555E"/>
    <w:rsid w:val="00AF1A21"/>
    <w:rsid w:val="00AF3749"/>
    <w:rsid w:val="00B20B23"/>
    <w:rsid w:val="00B43C86"/>
    <w:rsid w:val="00BA64BF"/>
    <w:rsid w:val="00BE685C"/>
    <w:rsid w:val="00BF2866"/>
    <w:rsid w:val="00C23320"/>
    <w:rsid w:val="00C63C47"/>
    <w:rsid w:val="00C82787"/>
    <w:rsid w:val="00C9221A"/>
    <w:rsid w:val="00CB155B"/>
    <w:rsid w:val="00CC23BE"/>
    <w:rsid w:val="00CC7206"/>
    <w:rsid w:val="00D03ACE"/>
    <w:rsid w:val="00D24279"/>
    <w:rsid w:val="00D34E4C"/>
    <w:rsid w:val="00D467B4"/>
    <w:rsid w:val="00D5165B"/>
    <w:rsid w:val="00D53859"/>
    <w:rsid w:val="00D56C7F"/>
    <w:rsid w:val="00D80B0F"/>
    <w:rsid w:val="00DE14B3"/>
    <w:rsid w:val="00DE67F5"/>
    <w:rsid w:val="00DF4BCB"/>
    <w:rsid w:val="00E10D01"/>
    <w:rsid w:val="00E12E84"/>
    <w:rsid w:val="00E24919"/>
    <w:rsid w:val="00E37A78"/>
    <w:rsid w:val="00E4731F"/>
    <w:rsid w:val="00E66DC5"/>
    <w:rsid w:val="00EB1ED4"/>
    <w:rsid w:val="00EB57C3"/>
    <w:rsid w:val="00EC5DE6"/>
    <w:rsid w:val="00ED5807"/>
    <w:rsid w:val="00F12907"/>
    <w:rsid w:val="00F21619"/>
    <w:rsid w:val="00F230D1"/>
    <w:rsid w:val="00F362E8"/>
    <w:rsid w:val="00F80289"/>
    <w:rsid w:val="00F82AC8"/>
    <w:rsid w:val="00FE6AF2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B612A"/>
  </w:style>
  <w:style w:type="paragraph" w:customStyle="1" w:styleId="rvps4">
    <w:name w:val="rvps4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vps1">
    <w:name w:val="rvps1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B612A"/>
  </w:style>
  <w:style w:type="character" w:customStyle="1" w:styleId="rvts23">
    <w:name w:val="rvts23"/>
    <w:basedOn w:val="a0"/>
    <w:rsid w:val="004B612A"/>
  </w:style>
  <w:style w:type="paragraph" w:customStyle="1" w:styleId="rvps7">
    <w:name w:val="rvps7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4B612A"/>
  </w:style>
  <w:style w:type="paragraph" w:customStyle="1" w:styleId="rvps14">
    <w:name w:val="rvps14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vps6">
    <w:name w:val="rvps6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vps18">
    <w:name w:val="rvps18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B612A"/>
    <w:rPr>
      <w:color w:val="0000FF"/>
      <w:u w:val="single"/>
    </w:rPr>
  </w:style>
  <w:style w:type="paragraph" w:customStyle="1" w:styleId="rvps2">
    <w:name w:val="rvps2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rvts96">
    <w:name w:val="rvts96"/>
    <w:basedOn w:val="a0"/>
    <w:rsid w:val="004B612A"/>
  </w:style>
  <w:style w:type="character" w:customStyle="1" w:styleId="rvts52">
    <w:name w:val="rvts52"/>
    <w:basedOn w:val="a0"/>
    <w:rsid w:val="004B612A"/>
  </w:style>
  <w:style w:type="character" w:customStyle="1" w:styleId="rvts44">
    <w:name w:val="rvts44"/>
    <w:basedOn w:val="a0"/>
    <w:rsid w:val="004B612A"/>
  </w:style>
  <w:style w:type="paragraph" w:customStyle="1" w:styleId="rvps15">
    <w:name w:val="rvps15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vps8">
    <w:name w:val="rvps8"/>
    <w:basedOn w:val="a"/>
    <w:rsid w:val="004B612A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B612A"/>
  </w:style>
  <w:style w:type="character" w:customStyle="1" w:styleId="rvts11">
    <w:name w:val="rvts11"/>
    <w:basedOn w:val="a0"/>
    <w:rsid w:val="004B612A"/>
  </w:style>
  <w:style w:type="paragraph" w:styleId="a4">
    <w:name w:val="Balloon Text"/>
    <w:basedOn w:val="a"/>
    <w:link w:val="a5"/>
    <w:uiPriority w:val="99"/>
    <w:semiHidden/>
    <w:unhideWhenUsed/>
    <w:rsid w:val="004B61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436-14/paran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z0436-14/paran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094-12/print13902071070236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4.rada.gov.ua/laws/show/z0436-14/paran1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z0436-14/para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9236</Words>
  <Characters>5266</Characters>
  <Application>Microsoft Office Word</Application>
  <DocSecurity>0</DocSecurity>
  <Lines>43</Lines>
  <Paragraphs>28</Paragraphs>
  <ScaleCrop>false</ScaleCrop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2015-04-03T11:39:00Z</dcterms:created>
  <dcterms:modified xsi:type="dcterms:W3CDTF">2015-04-03T11:40:00Z</dcterms:modified>
</cp:coreProperties>
</file>